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D8898">
      <w:pPr>
        <w:spacing w:line="560" w:lineRule="exact"/>
        <w:rPr>
          <w:rFonts w:ascii="Times New Roman" w:hAnsi="Times New Roman"/>
          <w:sz w:val="24"/>
          <w:szCs w:val="28"/>
        </w:rPr>
      </w:pPr>
      <w:r>
        <w:rPr>
          <w:rFonts w:hint="eastAsia" w:ascii="Times New Roman" w:hAnsi="Times New Roman"/>
          <w:sz w:val="24"/>
          <w:szCs w:val="28"/>
        </w:rPr>
        <w:t>项目班名称：物理伯苓班</w:t>
      </w:r>
    </w:p>
    <w:p w14:paraId="13F3550F">
      <w:pPr>
        <w:numPr>
          <w:ilvl w:val="0"/>
          <w:numId w:val="1"/>
        </w:numPr>
        <w:spacing w:line="560" w:lineRule="exact"/>
        <w:rPr>
          <w:rFonts w:ascii="Times New Roman" w:hAnsi="Times New Roman"/>
          <w:b/>
          <w:sz w:val="24"/>
          <w:szCs w:val="28"/>
        </w:rPr>
      </w:pPr>
      <w:r>
        <w:rPr>
          <w:rFonts w:hint="eastAsia" w:ascii="Times New Roman" w:hAnsi="Times New Roman"/>
          <w:b/>
          <w:sz w:val="24"/>
          <w:szCs w:val="28"/>
          <w:lang w:val="en-US" w:eastAsia="zh-CN"/>
        </w:rPr>
        <w:t>项目</w:t>
      </w:r>
      <w:r>
        <w:rPr>
          <w:rFonts w:hint="eastAsia" w:ascii="Times New Roman" w:hAnsi="Times New Roman"/>
          <w:b/>
          <w:sz w:val="24"/>
          <w:szCs w:val="28"/>
        </w:rPr>
        <w:t>定位</w:t>
      </w:r>
    </w:p>
    <w:p w14:paraId="34C6F6D3">
      <w:pPr>
        <w:spacing w:line="560" w:lineRule="exact"/>
        <w:ind w:firstLine="480" w:firstLineChars="200"/>
        <w:rPr>
          <w:rFonts w:ascii="Times New Roman" w:hAnsi="Times New Roman"/>
          <w:sz w:val="24"/>
          <w:szCs w:val="28"/>
        </w:rPr>
      </w:pPr>
      <w:r>
        <w:rPr>
          <w:rFonts w:hint="eastAsia" w:ascii="Times New Roman" w:hAnsi="Times New Roman"/>
          <w:sz w:val="24"/>
          <w:szCs w:val="28"/>
        </w:rPr>
        <w:t>物理伯苓班为国家“基础学科拔尖学生培养计划”项目，2009年设立，2019年入选拔尖计划2.0，面向有志深耕物理学研究的优秀学生，致力培育物理学领域具备国际竞争力的拔尖创新后备人才。注重夯实物理学科理论与实验根基，塑造批判性思维与原创科研能力，引导学生树立长期学术志向。</w:t>
      </w:r>
    </w:p>
    <w:p w14:paraId="1B6AF81E">
      <w:pPr>
        <w:spacing w:line="560" w:lineRule="exact"/>
        <w:rPr>
          <w:rFonts w:ascii="Times New Roman" w:hAnsi="Times New Roman"/>
          <w:b/>
          <w:sz w:val="24"/>
          <w:szCs w:val="28"/>
        </w:rPr>
      </w:pPr>
      <w:r>
        <w:rPr>
          <w:rFonts w:hint="eastAsia" w:ascii="Times New Roman" w:hAnsi="Times New Roman"/>
          <w:b/>
          <w:sz w:val="24"/>
          <w:szCs w:val="28"/>
        </w:rPr>
        <w:t>二、</w:t>
      </w:r>
      <w:r>
        <w:rPr>
          <w:rFonts w:ascii="Times New Roman" w:hAnsi="Times New Roman"/>
          <w:b/>
          <w:sz w:val="24"/>
          <w:szCs w:val="28"/>
        </w:rPr>
        <w:t>培养</w:t>
      </w:r>
      <w:r>
        <w:rPr>
          <w:rFonts w:hint="eastAsia" w:ascii="Times New Roman" w:hAnsi="Times New Roman"/>
          <w:b/>
          <w:sz w:val="24"/>
          <w:szCs w:val="28"/>
        </w:rPr>
        <w:t>特色</w:t>
      </w:r>
    </w:p>
    <w:p w14:paraId="16897A90">
      <w:pPr>
        <w:pStyle w:val="6"/>
        <w:numPr>
          <w:ilvl w:val="0"/>
          <w:numId w:val="2"/>
        </w:numPr>
        <w:spacing w:line="560" w:lineRule="exact"/>
        <w:ind w:left="0" w:firstLine="0" w:firstLineChars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构建多维导师育人体系，实行班导师、学业导师、科研导师、宿舍导师协同指导，搭配前沿讲座、思辨研讨等活动，营造沉浸式学术氛围</w:t>
      </w:r>
      <w:r>
        <w:rPr>
          <w:rFonts w:hint="eastAsia" w:ascii="Times New Roman" w:hAnsi="Times New Roman"/>
          <w:sz w:val="24"/>
          <w:szCs w:val="28"/>
        </w:rPr>
        <w:t>；</w:t>
      </w:r>
    </w:p>
    <w:p w14:paraId="6420F9CB">
      <w:pPr>
        <w:pStyle w:val="6"/>
        <w:numPr>
          <w:ilvl w:val="0"/>
          <w:numId w:val="2"/>
        </w:numPr>
        <w:spacing w:line="560" w:lineRule="exact"/>
        <w:ind w:left="0" w:firstLine="0" w:firstLineChars="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搭建分层国际化交流路径，</w:t>
      </w:r>
      <w:r>
        <w:rPr>
          <w:rFonts w:hint="eastAsia" w:ascii="Times New Roman" w:hAnsi="Times New Roman"/>
          <w:sz w:val="24"/>
          <w:szCs w:val="28"/>
        </w:rPr>
        <w:t>鼓励学生</w:t>
      </w:r>
      <w:r>
        <w:rPr>
          <w:rFonts w:ascii="Times New Roman" w:hAnsi="Times New Roman"/>
          <w:sz w:val="24"/>
          <w:szCs w:val="28"/>
        </w:rPr>
        <w:t>参与国际学术会议与物理竞赛，邀请海外学者暑期授课</w:t>
      </w:r>
      <w:r>
        <w:rPr>
          <w:rFonts w:hint="eastAsia" w:ascii="Times New Roman" w:hAnsi="Times New Roman"/>
          <w:sz w:val="24"/>
          <w:szCs w:val="28"/>
        </w:rPr>
        <w:t>，资助</w:t>
      </w:r>
      <w:r>
        <w:rPr>
          <w:rFonts w:ascii="Times New Roman" w:hAnsi="Times New Roman"/>
          <w:sz w:val="24"/>
          <w:szCs w:val="28"/>
        </w:rPr>
        <w:t>高年级</w:t>
      </w:r>
      <w:r>
        <w:rPr>
          <w:rFonts w:hint="eastAsia" w:ascii="Times New Roman" w:hAnsi="Times New Roman"/>
          <w:sz w:val="24"/>
          <w:szCs w:val="28"/>
        </w:rPr>
        <w:t>学生</w:t>
      </w:r>
      <w:r>
        <w:rPr>
          <w:rFonts w:ascii="Times New Roman" w:hAnsi="Times New Roman"/>
          <w:sz w:val="24"/>
          <w:szCs w:val="28"/>
        </w:rPr>
        <w:t>赴境外院校开展科研实习，依托数十个海外合作基地拓展学术视野</w:t>
      </w:r>
      <w:r>
        <w:rPr>
          <w:rFonts w:hint="eastAsia" w:ascii="Times New Roman" w:hAnsi="Times New Roman"/>
          <w:sz w:val="24"/>
          <w:szCs w:val="28"/>
        </w:rPr>
        <w:t>；</w:t>
      </w:r>
    </w:p>
    <w:p w14:paraId="22FBA166">
      <w:pPr>
        <w:pStyle w:val="6"/>
        <w:numPr>
          <w:ilvl w:val="0"/>
          <w:numId w:val="2"/>
        </w:numPr>
        <w:spacing w:line="560" w:lineRule="exact"/>
        <w:ind w:left="0" w:firstLine="0" w:firstLineChars="0"/>
        <w:rPr>
          <w:rFonts w:ascii="Times New Roman" w:hAnsi="Times New Roman"/>
          <w:color w:val="FF0000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贯通本研衔接科研训练，提前进入课题组开展课题实践，配套专项经费支持研学竞赛。辅以伯苓智慧书院跨学科交流，兼顾科学素养与人文培育，打通基础学习到前沿探索的成长路径。</w:t>
      </w:r>
      <w:r>
        <w:rPr>
          <w:rFonts w:ascii="Times New Roman" w:hAnsi="Times New Roman"/>
          <w:sz w:val="24"/>
          <w:szCs w:val="28"/>
        </w:rPr>
        <w:br w:type="textWrapping"/>
      </w:r>
      <w:r>
        <w:rPr>
          <w:rFonts w:hint="eastAsia" w:ascii="Times New Roman" w:hAnsi="Times New Roman"/>
          <w:sz w:val="24"/>
          <w:szCs w:val="28"/>
        </w:rPr>
        <w:t>三、</w:t>
      </w:r>
      <w:r>
        <w:rPr>
          <w:rFonts w:hint="eastAsia" w:ascii="Times New Roman" w:hAnsi="Times New Roman"/>
          <w:sz w:val="24"/>
          <w:szCs w:val="28"/>
          <w:lang w:val="en-US" w:eastAsia="zh-CN"/>
        </w:rPr>
        <w:t>升学就业</w:t>
      </w:r>
    </w:p>
    <w:p w14:paraId="623761D9">
      <w:pPr>
        <w:spacing w:line="560" w:lineRule="exact"/>
        <w:ind w:firstLine="480" w:firstLineChars="20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升学：整体深造比例高，多数选择攻读博士学位。国内去向包含清华、北大、中科大、中科院物理所等顶尖院所；出境深造可拿到普林斯顿、帝国理工、加州伯克利等海外名校全额奖学金</w:t>
      </w:r>
      <w:r>
        <w:rPr>
          <w:rFonts w:hint="eastAsia" w:ascii="Times New Roman" w:hAnsi="Times New Roman"/>
          <w:sz w:val="24"/>
          <w:szCs w:val="28"/>
          <w:lang w:eastAsia="zh-CN"/>
        </w:rPr>
        <w:t>。</w:t>
      </w:r>
      <w:r>
        <w:rPr>
          <w:rFonts w:ascii="Times New Roman" w:hAnsi="Times New Roman"/>
          <w:sz w:val="24"/>
          <w:szCs w:val="28"/>
        </w:rPr>
        <w:t xml:space="preserve"> </w:t>
      </w:r>
    </w:p>
    <w:p w14:paraId="75911590">
      <w:pPr>
        <w:spacing w:line="560" w:lineRule="exact"/>
        <w:ind w:firstLine="480" w:firstLineChars="20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就业：去向集中于光电半导体、智能硬件、信息技术等高新产业，代表性单位有京东方、比亚迪、荣耀等，少量进入科研机构、教育单位与公职岗位，多依托物理专业素养从事技术研发、数据分析类工作。 </w:t>
      </w:r>
    </w:p>
    <w:p w14:paraId="3930BE09">
      <w:pPr>
        <w:spacing w:line="560" w:lineRule="exact"/>
        <w:ind w:firstLine="480" w:firstLineChars="20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竞赛成果：积极参与C</w:t>
      </w:r>
      <w:r>
        <w:rPr>
          <w:rFonts w:hint="eastAsia" w:ascii="Times New Roman" w:hAnsi="Times New Roman"/>
          <w:sz w:val="24"/>
          <w:szCs w:val="28"/>
        </w:rPr>
        <w:t>U</w:t>
      </w:r>
      <w:r>
        <w:rPr>
          <w:rFonts w:ascii="Times New Roman" w:hAnsi="Times New Roman"/>
          <w:sz w:val="24"/>
          <w:szCs w:val="28"/>
        </w:rPr>
        <w:t>PT等物理学术竞赛，依托科研训练产出本科生科研成果，多名学生以第一作者身份在国际期刊发表论文。以学科竞赛与原创科研实践锻炼问题拆解能力，形成“竞赛‑科研”联动的能力成长路径。</w:t>
      </w:r>
    </w:p>
    <w:p w14:paraId="4FFF360E">
      <w:pPr>
        <w:spacing w:line="560" w:lineRule="exact"/>
        <w:ind w:firstLine="480" w:firstLineChars="200"/>
        <w:rPr>
          <w:rFonts w:ascii="Times New Roman" w:hAnsi="Times New Roman"/>
          <w:sz w:val="24"/>
          <w:szCs w:val="28"/>
        </w:rPr>
      </w:pPr>
    </w:p>
    <w:p w14:paraId="2B2475DC">
      <w:pPr>
        <w:ind w:firstLine="480" w:firstLineChars="200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drawing>
          <wp:inline distT="0" distB="0" distL="114300" distR="114300">
            <wp:extent cx="5269865" cy="3684905"/>
            <wp:effectExtent l="0" t="0" r="6985" b="10795"/>
            <wp:docPr id="1" name="图片 1" descr="68b94c18-d644-40c7-88c4-d7ada8b4bb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8b94c18-d644-40c7-88c4-d7ada8b4bbe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684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C23D5C">
      <w:pPr>
        <w:spacing w:line="560" w:lineRule="exact"/>
        <w:ind w:firstLine="480" w:firstLineChars="200"/>
        <w:jc w:val="center"/>
        <w:rPr>
          <w:rFonts w:ascii="Times New Roman" w:hAnsi="Times New Roman"/>
          <w:sz w:val="24"/>
          <w:szCs w:val="28"/>
        </w:rPr>
      </w:pPr>
      <w:r>
        <w:rPr>
          <w:rFonts w:hint="eastAsia" w:ascii="Times New Roman" w:hAnsi="Times New Roman"/>
          <w:sz w:val="24"/>
          <w:szCs w:val="28"/>
        </w:rPr>
        <w:t>物理学术竞赛</w:t>
      </w:r>
    </w:p>
    <w:p w14:paraId="5D3DFDAE">
      <w:pPr>
        <w:spacing w:line="560" w:lineRule="exact"/>
        <w:rPr>
          <w:rFonts w:hint="eastAsia" w:ascii="Times New Roman" w:hAnsi="Times New Roman" w:eastAsiaTheme="minorEastAsia"/>
          <w:sz w:val="24"/>
          <w:szCs w:val="28"/>
          <w:lang w:val="en-US" w:eastAsia="zh-CN"/>
        </w:rPr>
      </w:pPr>
      <w:r>
        <w:rPr>
          <w:rFonts w:hint="eastAsia" w:ascii="Times New Roman" w:hAnsi="Times New Roman"/>
          <w:sz w:val="24"/>
          <w:szCs w:val="28"/>
        </w:rPr>
        <w:t>四、选拔</w:t>
      </w:r>
      <w:r>
        <w:rPr>
          <w:rFonts w:hint="eastAsia" w:ascii="Times New Roman" w:hAnsi="Times New Roman"/>
          <w:sz w:val="24"/>
          <w:szCs w:val="28"/>
          <w:lang w:val="en-US" w:eastAsia="zh-CN"/>
        </w:rPr>
        <w:t>流程</w:t>
      </w:r>
    </w:p>
    <w:p w14:paraId="60D1CE36">
      <w:pPr>
        <w:spacing w:line="560" w:lineRule="exact"/>
        <w:ind w:firstLine="480" w:firstLineChars="200"/>
        <w:rPr>
          <w:rFonts w:ascii="Times New Roman" w:hAnsi="Times New Roman"/>
          <w:sz w:val="24"/>
          <w:szCs w:val="28"/>
        </w:rPr>
      </w:pPr>
      <w:r>
        <w:rPr>
          <w:rFonts w:hint="eastAsia" w:ascii="Times New Roman" w:hAnsi="Times New Roman"/>
          <w:sz w:val="24"/>
          <w:szCs w:val="28"/>
        </w:rPr>
        <w:t>面向全校理科新生开展入校后二次选拔，笔试考核数学、英语、物理，通过后进行综合面试，差额复试比例为3:1，依据复试成绩择优录取，复试不合格者不予录取。</w:t>
      </w:r>
    </w:p>
    <w:p w14:paraId="5600E4F0">
      <w:pPr>
        <w:numPr>
          <w:ilvl w:val="0"/>
          <w:numId w:val="3"/>
        </w:numPr>
        <w:spacing w:line="560" w:lineRule="exact"/>
        <w:rPr>
          <w:rFonts w:ascii="Times New Roman" w:hAnsi="Times New Roman"/>
          <w:sz w:val="24"/>
          <w:szCs w:val="28"/>
        </w:rPr>
      </w:pPr>
      <w:r>
        <w:rPr>
          <w:rFonts w:hint="eastAsia" w:ascii="Times New Roman" w:hAnsi="Times New Roman"/>
          <w:sz w:val="24"/>
          <w:szCs w:val="28"/>
        </w:rPr>
        <w:t>报考建议</w:t>
      </w:r>
    </w:p>
    <w:p w14:paraId="5968E38B">
      <w:pPr>
        <w:spacing w:line="560" w:lineRule="exact"/>
        <w:ind w:firstLine="480" w:firstLineChars="200"/>
        <w:rPr>
          <w:rFonts w:ascii="Times New Roman" w:hAnsi="Times New Roman"/>
          <w:sz w:val="24"/>
          <w:szCs w:val="28"/>
        </w:rPr>
      </w:pPr>
      <w:r>
        <w:rPr>
          <w:rFonts w:hint="eastAsia" w:ascii="Times New Roman" w:hAnsi="Times New Roman"/>
          <w:sz w:val="24"/>
          <w:szCs w:val="28"/>
        </w:rPr>
        <w:t>考试面向全校理科新生开放，具有一定报考难度。适合数理基础扎实、有志长期深耕物理科研的学生，需具备较强自主钻研、逻辑思辨能力。</w:t>
      </w:r>
    </w:p>
    <w:p w14:paraId="0A527CB7">
      <w:pPr>
        <w:numPr>
          <w:ilvl w:val="0"/>
          <w:numId w:val="3"/>
        </w:numPr>
        <w:spacing w:line="560" w:lineRule="exact"/>
        <w:rPr>
          <w:rFonts w:ascii="Times New Roman" w:hAnsi="Times New Roman"/>
          <w:sz w:val="24"/>
          <w:szCs w:val="28"/>
        </w:rPr>
      </w:pPr>
      <w:r>
        <w:rPr>
          <w:rFonts w:hint="eastAsia" w:ascii="Times New Roman" w:hAnsi="Times New Roman"/>
          <w:sz w:val="24"/>
          <w:szCs w:val="28"/>
        </w:rPr>
        <w:t>动态</w:t>
      </w:r>
      <w:r>
        <w:rPr>
          <w:rFonts w:hint="eastAsia" w:ascii="Times New Roman" w:hAnsi="Times New Roman"/>
          <w:sz w:val="24"/>
          <w:szCs w:val="28"/>
          <w:lang w:val="en-US" w:eastAsia="zh-CN"/>
        </w:rPr>
        <w:t>管理</w:t>
      </w:r>
    </w:p>
    <w:p w14:paraId="163B914C">
      <w:pPr>
        <w:spacing w:line="560" w:lineRule="exact"/>
        <w:ind w:firstLine="480" w:firstLineChars="200"/>
        <w:rPr>
          <w:rFonts w:ascii="Times New Roman" w:hAnsi="Times New Roman"/>
          <w:sz w:val="24"/>
          <w:szCs w:val="28"/>
        </w:rPr>
      </w:pPr>
      <w:r>
        <w:rPr>
          <w:rFonts w:hint="eastAsia" w:ascii="Times New Roman" w:hAnsi="Times New Roman"/>
          <w:sz w:val="24"/>
          <w:szCs w:val="28"/>
        </w:rPr>
        <w:t>伯苓班辅以学年双向流转考核，结合学业表现与科研志趣遴选调整，伯苓班动态进出时间：原则上在学期末进出，不得在学期中进出伯苓班。退出机制：学生主动申请、必修课挂科、休退学等，退出后学生转入物理学专业就读。进入机制：自愿申请、学院综合考核后择优录取。</w:t>
      </w:r>
    </w:p>
    <w:p w14:paraId="0732529A">
      <w:pPr>
        <w:spacing w:line="560" w:lineRule="exact"/>
        <w:rPr>
          <w:rFonts w:hint="default" w:ascii="Times New Roman" w:hAnsi="Times New Roman" w:eastAsiaTheme="minorEastAsia"/>
          <w:sz w:val="24"/>
          <w:szCs w:val="28"/>
          <w:lang w:val="en-US" w:eastAsia="zh-CN"/>
        </w:rPr>
      </w:pPr>
      <w:r>
        <w:rPr>
          <w:rFonts w:hint="eastAsia" w:ascii="Times New Roman" w:hAnsi="Times New Roman"/>
          <w:sz w:val="24"/>
          <w:szCs w:val="28"/>
        </w:rPr>
        <w:t>七、</w:t>
      </w:r>
      <w:r>
        <w:rPr>
          <w:rFonts w:hint="eastAsia" w:ascii="Times New Roman" w:hAnsi="Times New Roman"/>
          <w:sz w:val="24"/>
          <w:szCs w:val="28"/>
          <w:lang w:val="en-US" w:eastAsia="zh-CN"/>
        </w:rPr>
        <w:t>咨询渠道：飞书咨询群二维码</w:t>
      </w:r>
      <w:bookmarkStart w:id="0" w:name="_GoBack"/>
      <w:bookmarkEnd w:id="0"/>
    </w:p>
    <w:p w14:paraId="7AE7CD06">
      <w:pPr>
        <w:spacing w:line="240" w:lineRule="auto"/>
        <w:ind w:firstLine="480" w:firstLineChars="200"/>
        <w:rPr>
          <w:rFonts w:hint="eastAsia" w:ascii="Times New Roman" w:hAnsi="Times New Roman" w:eastAsiaTheme="minorEastAsia"/>
          <w:sz w:val="24"/>
          <w:szCs w:val="28"/>
          <w:lang w:eastAsia="zh-CN"/>
        </w:rPr>
      </w:pPr>
      <w:r>
        <w:rPr>
          <w:rFonts w:hint="eastAsia" w:ascii="Times New Roman" w:hAnsi="Times New Roman" w:eastAsiaTheme="minorEastAsia"/>
          <w:sz w:val="24"/>
          <w:szCs w:val="28"/>
          <w:lang w:eastAsia="zh-CN"/>
        </w:rPr>
        <w:drawing>
          <wp:inline distT="0" distB="0" distL="114300" distR="114300">
            <wp:extent cx="2605405" cy="3034030"/>
            <wp:effectExtent l="0" t="0" r="4445" b="13970"/>
            <wp:docPr id="4" name="图片 4" descr="微信图片_20260809123528_37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微信图片_20260809123528_37_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05405" cy="3034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5BBF3E">
      <w:pPr>
        <w:spacing w:line="560" w:lineRule="exact"/>
        <w:ind w:firstLine="480" w:firstLineChars="200"/>
        <w:rPr>
          <w:rFonts w:hint="eastAsia" w:ascii="Times New Roman" w:hAnsi="Times New Roman"/>
          <w:sz w:val="24"/>
          <w:szCs w:val="28"/>
        </w:rPr>
      </w:pPr>
    </w:p>
    <w:p w14:paraId="05205318">
      <w:pPr>
        <w:spacing w:line="560" w:lineRule="exact"/>
        <w:rPr>
          <w:rFonts w:ascii="Times New Roman" w:hAnsi="Times New Roman"/>
          <w:sz w:val="24"/>
          <w:szCs w:val="28"/>
        </w:rPr>
      </w:pPr>
      <w:r>
        <w:rPr>
          <w:rFonts w:hint="eastAsia" w:ascii="Times New Roman" w:hAnsi="Times New Roman" w:eastAsiaTheme="minorEastAsia"/>
          <w:sz w:val="24"/>
          <w:szCs w:val="28"/>
          <w:lang w:eastAsia="zh-CN"/>
        </w:rPr>
        <w:drawing>
          <wp:inline distT="0" distB="0" distL="114300" distR="114300">
            <wp:extent cx="3321050" cy="3353435"/>
            <wp:effectExtent l="0" t="0" r="12700" b="18415"/>
            <wp:docPr id="2" name="图片 2" descr="微信图片_20260809123528_37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微信图片_20260809123528_37_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21050" cy="335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28E0C">
      <w:pPr>
        <w:spacing w:line="560" w:lineRule="exact"/>
        <w:rPr>
          <w:rFonts w:ascii="Times New Roman" w:hAnsi="Times New Roman"/>
          <w:color w:val="FF0000"/>
          <w:sz w:val="24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91C7C19"/>
    <w:multiLevelType w:val="singleLevel"/>
    <w:tmpl w:val="E91C7C1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CEBCC1A"/>
    <w:multiLevelType w:val="singleLevel"/>
    <w:tmpl w:val="FCEBCC1A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591131EC"/>
    <w:multiLevelType w:val="multilevel"/>
    <w:tmpl w:val="591131EC"/>
    <w:lvl w:ilvl="0" w:tentative="0">
      <w:start w:val="1"/>
      <w:numFmt w:val="bullet"/>
      <w:lvlText w:val=""/>
      <w:lvlJc w:val="left"/>
      <w:pPr>
        <w:ind w:left="900" w:hanging="420"/>
      </w:pPr>
      <w:rPr>
        <w:rFonts w:hint="default" w:ascii="Wingdings" w:hAnsi="Wingdings"/>
        <w:color w:val="auto"/>
      </w:rPr>
    </w:lvl>
    <w:lvl w:ilvl="1" w:tentative="0">
      <w:start w:val="1"/>
      <w:numFmt w:val="bullet"/>
      <w:lvlText w:val=""/>
      <w:lvlJc w:val="left"/>
      <w:pPr>
        <w:ind w:left="132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74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216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58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300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42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260" w:hanging="420"/>
      </w:pPr>
      <w:rPr>
        <w:rFonts w:hint="default"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898799B"/>
    <w:rsid w:val="00506881"/>
    <w:rsid w:val="00A30338"/>
    <w:rsid w:val="022F4B1A"/>
    <w:rsid w:val="048E3F31"/>
    <w:rsid w:val="08885C60"/>
    <w:rsid w:val="0F7563EB"/>
    <w:rsid w:val="13805A3A"/>
    <w:rsid w:val="1EDB10BC"/>
    <w:rsid w:val="1F3B3794"/>
    <w:rsid w:val="1F3E6AB1"/>
    <w:rsid w:val="22AA0438"/>
    <w:rsid w:val="23B02B18"/>
    <w:rsid w:val="3068449A"/>
    <w:rsid w:val="3321758E"/>
    <w:rsid w:val="33C4118F"/>
    <w:rsid w:val="36730100"/>
    <w:rsid w:val="38D34E86"/>
    <w:rsid w:val="3A2B0CF2"/>
    <w:rsid w:val="3BED7C26"/>
    <w:rsid w:val="41487A27"/>
    <w:rsid w:val="4A3D4856"/>
    <w:rsid w:val="4E5E2364"/>
    <w:rsid w:val="4E7B594C"/>
    <w:rsid w:val="4F5D32A4"/>
    <w:rsid w:val="53202F66"/>
    <w:rsid w:val="5E890B49"/>
    <w:rsid w:val="603158D4"/>
    <w:rsid w:val="6B76151E"/>
    <w:rsid w:val="6D9D5488"/>
    <w:rsid w:val="762A3631"/>
    <w:rsid w:val="76AB2B5C"/>
    <w:rsid w:val="7898799B"/>
    <w:rsid w:val="797F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link w:val="5"/>
    <w:semiHidden/>
    <w:unhideWhenUsed/>
    <w:qFormat/>
    <w:uiPriority w:val="0"/>
    <w:pPr>
      <w:keepNext/>
      <w:keepLines/>
      <w:spacing w:line="500" w:lineRule="exact"/>
      <w:ind w:firstLine="602" w:firstLineChars="200"/>
      <w:outlineLvl w:val="2"/>
    </w:pPr>
    <w:rPr>
      <w:rFonts w:ascii="Calibri" w:hAnsi="Calibri" w:eastAsia="黑体" w:cs="Times New Roman"/>
      <w:b/>
      <w:sz w:val="28"/>
      <w:szCs w:val="22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3 字符"/>
    <w:link w:val="2"/>
    <w:qFormat/>
    <w:uiPriority w:val="0"/>
    <w:rPr>
      <w:rFonts w:ascii="Calibri" w:hAnsi="Calibri" w:eastAsia="黑体" w:cs="Times New Roman"/>
      <w:b/>
      <w:sz w:val="28"/>
      <w:szCs w:val="22"/>
    </w:rPr>
  </w:style>
  <w:style w:type="paragraph" w:styleId="6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1047</Words>
  <Characters>1060</Characters>
  <Lines>9</Lines>
  <Paragraphs>2</Paragraphs>
  <TotalTime>3</TotalTime>
  <ScaleCrop>false</ScaleCrop>
  <LinksUpToDate>false</LinksUpToDate>
  <CharactersWithSpaces>1066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2026-07-31T07:42:00Z</dcterms:created>
  <dc:creator>王坚</dc:creator>
  <cp:lastModifiedBy>梅剑春</cp:lastModifiedBy>
  <dcterms:modified xsi:type="dcterms:W3CDTF">2026-08-09T04:48:47Z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5F9B95A0B3D149CFA1FA6C686BBCA3E9_13</vt:lpwstr>
  </property>
  <property fmtid="{D5CDD505-2E9C-101B-9397-08002B2CF9AE}" pid="4" name="KSOTemplateDocerSaveRecord">
    <vt:lpwstr>eyJoZGlkIjoiZDQxYzBkODM5YzgxZTFhYWRmZTAzNTg1ZDYyOGE2ZjMiLCJ1c2VySWQiOiIxNzUxNzI0NzY2In0=</vt:lpwstr>
  </property>
</Properties>
</file>